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067" w:rsidRDefault="00446067" w:rsidP="003939D5">
      <w:pPr>
        <w:pStyle w:val="NoSpacing"/>
        <w:jc w:val="center"/>
        <w:rPr>
          <w:rFonts w:ascii="Times New Roman" w:hAnsi="Times New Roman" w:cs="Times New Roman"/>
          <w:b/>
          <w:sz w:val="28"/>
          <w:szCs w:val="28"/>
        </w:rPr>
      </w:pPr>
    </w:p>
    <w:p w:rsidR="003939D5" w:rsidRPr="003939D5" w:rsidRDefault="003939D5" w:rsidP="00D156FF">
      <w:pPr>
        <w:pStyle w:val="NoSpacing"/>
        <w:jc w:val="center"/>
        <w:rPr>
          <w:rFonts w:ascii="Times New Roman" w:hAnsi="Times New Roman" w:cs="Times New Roman"/>
          <w:b/>
          <w:sz w:val="28"/>
          <w:szCs w:val="28"/>
        </w:rPr>
      </w:pPr>
      <w:r w:rsidRPr="003939D5">
        <w:rPr>
          <w:rFonts w:ascii="Times New Roman" w:hAnsi="Times New Roman" w:cs="Times New Roman"/>
          <w:b/>
          <w:sz w:val="28"/>
          <w:szCs w:val="28"/>
        </w:rPr>
        <w:t>ASSESSMENT  OF  ENVIRONMENTAL AND HEALTH IMPACT  OF  PLASTIC PACKAGING  IN  SELECTED RESTAURANT  IN IRU  VICTORIA  ISLAND  OF  LAGOS</w:t>
      </w:r>
    </w:p>
    <w:p w:rsidR="003939D5" w:rsidRDefault="003939D5" w:rsidP="003939D5">
      <w:pPr>
        <w:spacing w:after="0" w:line="240" w:lineRule="auto"/>
        <w:rPr>
          <w:rFonts w:ascii="Times New Roman" w:hAnsi="Times New Roman"/>
        </w:rPr>
      </w:pPr>
    </w:p>
    <w:p w:rsidR="003939D5" w:rsidRDefault="003939D5" w:rsidP="003939D5">
      <w:pPr>
        <w:spacing w:after="0" w:line="240" w:lineRule="auto"/>
        <w:rPr>
          <w:rFonts w:ascii="Times New Roman" w:hAnsi="Times New Roman"/>
        </w:rPr>
      </w:pPr>
    </w:p>
    <w:p w:rsidR="003939D5" w:rsidRDefault="003939D5" w:rsidP="003939D5">
      <w:pPr>
        <w:spacing w:line="360" w:lineRule="auto"/>
        <w:jc w:val="center"/>
        <w:rPr>
          <w:rFonts w:ascii="Times New Roman" w:hAnsi="Times New Roman"/>
          <w:sz w:val="24"/>
          <w:szCs w:val="24"/>
        </w:rPr>
      </w:pPr>
      <w:r>
        <w:rPr>
          <w:rFonts w:ascii="Times New Roman" w:hAnsi="Times New Roman"/>
          <w:color w:val="000000"/>
          <w:sz w:val="24"/>
          <w:szCs w:val="24"/>
        </w:rPr>
        <w:t>BY</w:t>
      </w:r>
    </w:p>
    <w:p w:rsidR="003939D5" w:rsidRPr="00B3576F" w:rsidRDefault="003939D5" w:rsidP="003939D5">
      <w:pPr>
        <w:spacing w:after="0"/>
        <w:jc w:val="center"/>
        <w:rPr>
          <w:rFonts w:ascii="Times New Roman" w:hAnsi="Times New Roman"/>
          <w:b/>
          <w:sz w:val="24"/>
        </w:rPr>
      </w:pPr>
      <w:r w:rsidRPr="00B3576F">
        <w:rPr>
          <w:rFonts w:ascii="Times New Roman" w:hAnsi="Times New Roman"/>
          <w:b/>
          <w:sz w:val="24"/>
        </w:rPr>
        <w:t>OSUNSANYA MERCY ADESOLA</w:t>
      </w:r>
    </w:p>
    <w:p w:rsidR="003939D5" w:rsidRDefault="003939D5" w:rsidP="003939D5">
      <w:pPr>
        <w:spacing w:after="0"/>
        <w:ind w:left="3600" w:firstLine="720"/>
        <w:rPr>
          <w:rFonts w:ascii="Times New Roman" w:hAnsi="Times New Roman"/>
          <w:b/>
          <w:sz w:val="24"/>
          <w:szCs w:val="24"/>
        </w:rPr>
      </w:pPr>
      <w:r w:rsidRPr="00DD354D">
        <w:rPr>
          <w:rFonts w:ascii="Times New Roman" w:hAnsi="Times New Roman"/>
          <w:b/>
          <w:sz w:val="24"/>
          <w:szCs w:val="24"/>
        </w:rPr>
        <w:t>23/57MEH/04</w:t>
      </w:r>
      <w:r>
        <w:rPr>
          <w:rFonts w:ascii="Times New Roman" w:hAnsi="Times New Roman"/>
          <w:b/>
          <w:sz w:val="24"/>
          <w:szCs w:val="24"/>
        </w:rPr>
        <w:t>6</w:t>
      </w:r>
    </w:p>
    <w:p w:rsidR="003939D5" w:rsidRDefault="003939D5" w:rsidP="003939D5">
      <w:pPr>
        <w:spacing w:after="0"/>
        <w:ind w:left="3600"/>
        <w:rPr>
          <w:rFonts w:ascii="Times New Roman" w:hAnsi="Times New Roman"/>
          <w:b/>
          <w:sz w:val="24"/>
          <w:szCs w:val="24"/>
        </w:rPr>
      </w:pPr>
    </w:p>
    <w:p w:rsidR="003939D5" w:rsidRDefault="003939D5" w:rsidP="003939D5">
      <w:pPr>
        <w:spacing w:after="0"/>
        <w:rPr>
          <w:rFonts w:ascii="Times New Roman" w:hAnsi="Times New Roman"/>
          <w:b/>
          <w:sz w:val="24"/>
          <w:szCs w:val="24"/>
        </w:rPr>
      </w:pPr>
    </w:p>
    <w:p w:rsidR="003939D5" w:rsidRDefault="003939D5" w:rsidP="003939D5">
      <w:pPr>
        <w:spacing w:line="240" w:lineRule="auto"/>
        <w:jc w:val="center"/>
        <w:rPr>
          <w:rFonts w:ascii="Times New Roman" w:hAnsi="Times New Roman"/>
          <w:sz w:val="24"/>
          <w:szCs w:val="24"/>
        </w:rPr>
      </w:pPr>
      <w:r>
        <w:rPr>
          <w:rFonts w:ascii="Times New Roman" w:eastAsia="Times New Roman" w:hAnsi="Times New Roman"/>
          <w:b/>
          <w:bCs/>
          <w:sz w:val="24"/>
          <w:szCs w:val="24"/>
        </w:rPr>
        <w:t>ABSTRACT</w:t>
      </w:r>
    </w:p>
    <w:p w:rsidR="003939D5" w:rsidRDefault="003939D5" w:rsidP="003939D5">
      <w:pPr>
        <w:spacing w:line="240" w:lineRule="auto"/>
        <w:jc w:val="both"/>
        <w:rPr>
          <w:rFonts w:ascii="Times New Roman" w:eastAsia="Times New Roman" w:hAnsi="Times New Roman"/>
          <w:i/>
          <w:sz w:val="24"/>
          <w:szCs w:val="24"/>
        </w:rPr>
      </w:pPr>
      <w:bookmarkStart w:id="0" w:name="_Hlk205424384"/>
      <w:r w:rsidRPr="00DD354D">
        <w:rPr>
          <w:rFonts w:ascii="Times New Roman" w:eastAsia="Times New Roman" w:hAnsi="Times New Roman"/>
          <w:i/>
          <w:sz w:val="24"/>
          <w:szCs w:val="24"/>
        </w:rPr>
        <w:t xml:space="preserve">Plastic packaging is widely used in the food industry due to its affordability and convenience; however, </w:t>
      </w:r>
      <w:proofErr w:type="gramStart"/>
      <w:r w:rsidRPr="00DD354D">
        <w:rPr>
          <w:rFonts w:ascii="Times New Roman" w:eastAsia="Times New Roman" w:hAnsi="Times New Roman"/>
          <w:i/>
          <w:sz w:val="24"/>
          <w:szCs w:val="24"/>
        </w:rPr>
        <w:t>its</w:t>
      </w:r>
      <w:proofErr w:type="gramEnd"/>
      <w:r w:rsidRPr="00DD354D">
        <w:rPr>
          <w:rFonts w:ascii="Times New Roman" w:eastAsia="Times New Roman" w:hAnsi="Times New Roman"/>
          <w:i/>
          <w:sz w:val="24"/>
          <w:szCs w:val="24"/>
        </w:rPr>
        <w:t xml:space="preserve"> environmental and health implications remain underexplored in developing contexts. This study investigated the environmental and health impacts of plastic food packaging in selected restaurants in Victoria Island, Lagos, focusing on </w:t>
      </w:r>
      <w:proofErr w:type="spellStart"/>
      <w:r w:rsidRPr="00DD354D">
        <w:rPr>
          <w:rFonts w:ascii="Times New Roman" w:eastAsia="Times New Roman" w:hAnsi="Times New Roman"/>
          <w:i/>
          <w:sz w:val="24"/>
          <w:szCs w:val="24"/>
        </w:rPr>
        <w:t>microplastic</w:t>
      </w:r>
      <w:proofErr w:type="spellEnd"/>
      <w:r w:rsidRPr="00DD354D">
        <w:rPr>
          <w:rFonts w:ascii="Times New Roman" w:eastAsia="Times New Roman" w:hAnsi="Times New Roman"/>
          <w:i/>
          <w:sz w:val="24"/>
          <w:szCs w:val="24"/>
        </w:rPr>
        <w:t xml:space="preserve"> contamination, chemical leaching, and consumer awareness. A mixed-method approach was adopted, comprising laboratory analysis of ten</w:t>
      </w:r>
      <w:r>
        <w:rPr>
          <w:rFonts w:ascii="Times New Roman" w:eastAsia="Times New Roman" w:hAnsi="Times New Roman"/>
          <w:i/>
          <w:sz w:val="24"/>
          <w:szCs w:val="24"/>
        </w:rPr>
        <w:t xml:space="preserve"> (10</w:t>
      </w:r>
      <w:proofErr w:type="gramStart"/>
      <w:r>
        <w:rPr>
          <w:rFonts w:ascii="Times New Roman" w:eastAsia="Times New Roman" w:hAnsi="Times New Roman"/>
          <w:i/>
          <w:sz w:val="24"/>
          <w:szCs w:val="24"/>
        </w:rPr>
        <w:t xml:space="preserve">) </w:t>
      </w:r>
      <w:r w:rsidRPr="00DD354D">
        <w:rPr>
          <w:rFonts w:ascii="Times New Roman" w:eastAsia="Times New Roman" w:hAnsi="Times New Roman"/>
          <w:i/>
          <w:sz w:val="24"/>
          <w:szCs w:val="24"/>
        </w:rPr>
        <w:t xml:space="preserve"> food</w:t>
      </w:r>
      <w:proofErr w:type="gramEnd"/>
      <w:r w:rsidRPr="00DD354D">
        <w:rPr>
          <w:rFonts w:ascii="Times New Roman" w:eastAsia="Times New Roman" w:hAnsi="Times New Roman"/>
          <w:i/>
          <w:sz w:val="24"/>
          <w:szCs w:val="24"/>
        </w:rPr>
        <w:t xml:space="preserve"> samples for </w:t>
      </w:r>
      <w:proofErr w:type="spellStart"/>
      <w:r w:rsidRPr="00DD354D">
        <w:rPr>
          <w:rFonts w:ascii="Times New Roman" w:eastAsia="Times New Roman" w:hAnsi="Times New Roman"/>
          <w:i/>
          <w:sz w:val="24"/>
          <w:szCs w:val="24"/>
        </w:rPr>
        <w:t>microplastics</w:t>
      </w:r>
      <w:proofErr w:type="spellEnd"/>
      <w:r w:rsidRPr="00DD354D">
        <w:rPr>
          <w:rFonts w:ascii="Times New Roman" w:eastAsia="Times New Roman" w:hAnsi="Times New Roman"/>
          <w:i/>
          <w:sz w:val="24"/>
          <w:szCs w:val="24"/>
        </w:rPr>
        <w:t xml:space="preserve"> and polymer content, and a survey of 119 restaurant customers to assess their awareness, perceptions, and behavioural intentions. Laboratory results revealed that </w:t>
      </w:r>
      <w:proofErr w:type="spellStart"/>
      <w:r w:rsidRPr="00DD354D">
        <w:rPr>
          <w:rFonts w:ascii="Times New Roman" w:eastAsia="Times New Roman" w:hAnsi="Times New Roman"/>
          <w:i/>
          <w:sz w:val="24"/>
          <w:szCs w:val="24"/>
        </w:rPr>
        <w:t>microplastics</w:t>
      </w:r>
      <w:proofErr w:type="spellEnd"/>
      <w:r w:rsidRPr="00DD354D">
        <w:rPr>
          <w:rFonts w:ascii="Times New Roman" w:eastAsia="Times New Roman" w:hAnsi="Times New Roman"/>
          <w:i/>
          <w:sz w:val="24"/>
          <w:szCs w:val="24"/>
        </w:rPr>
        <w:t xml:space="preserve"> were present in all sampled foods, with concentrations ranging from 1.3 to 3.1 particles per gram. Restaurants using polyethylene </w:t>
      </w:r>
      <w:proofErr w:type="spellStart"/>
      <w:r w:rsidRPr="00DD354D">
        <w:rPr>
          <w:rFonts w:ascii="Times New Roman" w:eastAsia="Times New Roman" w:hAnsi="Times New Roman"/>
          <w:i/>
          <w:sz w:val="24"/>
          <w:szCs w:val="24"/>
        </w:rPr>
        <w:t>terephthalate</w:t>
      </w:r>
      <w:proofErr w:type="spellEnd"/>
      <w:r w:rsidRPr="00DD354D">
        <w:rPr>
          <w:rFonts w:ascii="Times New Roman" w:eastAsia="Times New Roman" w:hAnsi="Times New Roman"/>
          <w:i/>
          <w:sz w:val="24"/>
          <w:szCs w:val="24"/>
        </w:rPr>
        <w:t xml:space="preserve"> (PET) packaging recorded the highest contamination levels. The predominant </w:t>
      </w:r>
      <w:proofErr w:type="spellStart"/>
      <w:r w:rsidRPr="00DD354D">
        <w:rPr>
          <w:rFonts w:ascii="Times New Roman" w:eastAsia="Times New Roman" w:hAnsi="Times New Roman"/>
          <w:i/>
          <w:sz w:val="24"/>
          <w:szCs w:val="24"/>
        </w:rPr>
        <w:t>microplastic</w:t>
      </w:r>
      <w:proofErr w:type="spellEnd"/>
      <w:r w:rsidRPr="00DD354D">
        <w:rPr>
          <w:rFonts w:ascii="Times New Roman" w:eastAsia="Times New Roman" w:hAnsi="Times New Roman"/>
          <w:i/>
          <w:sz w:val="24"/>
          <w:szCs w:val="24"/>
        </w:rPr>
        <w:t xml:space="preserve"> types were polyethylene (PE), polypropylene (PP), and PET, with particle sizes mostly between 20–370 </w:t>
      </w:r>
      <w:proofErr w:type="spellStart"/>
      <w:r w:rsidRPr="00DD354D">
        <w:rPr>
          <w:rFonts w:ascii="Times New Roman" w:eastAsia="Times New Roman" w:hAnsi="Times New Roman"/>
          <w:i/>
          <w:sz w:val="24"/>
          <w:szCs w:val="24"/>
        </w:rPr>
        <w:t>μm</w:t>
      </w:r>
      <w:proofErr w:type="spellEnd"/>
      <w:r w:rsidRPr="00DD354D">
        <w:rPr>
          <w:rFonts w:ascii="Times New Roman" w:eastAsia="Times New Roman" w:hAnsi="Times New Roman"/>
          <w:i/>
          <w:sz w:val="24"/>
          <w:szCs w:val="24"/>
        </w:rPr>
        <w:t xml:space="preserve">. One-sample t-test results showed that the mean </w:t>
      </w:r>
      <w:proofErr w:type="spellStart"/>
      <w:r w:rsidRPr="00DD354D">
        <w:rPr>
          <w:rFonts w:ascii="Times New Roman" w:eastAsia="Times New Roman" w:hAnsi="Times New Roman"/>
          <w:i/>
          <w:sz w:val="24"/>
          <w:szCs w:val="24"/>
        </w:rPr>
        <w:t>microplastic</w:t>
      </w:r>
      <w:proofErr w:type="spellEnd"/>
      <w:r w:rsidRPr="00DD354D">
        <w:rPr>
          <w:rFonts w:ascii="Times New Roman" w:eastAsia="Times New Roman" w:hAnsi="Times New Roman"/>
          <w:i/>
          <w:sz w:val="24"/>
          <w:szCs w:val="24"/>
        </w:rPr>
        <w:t xml:space="preserve"> count (2.26 particles/g) was significantly higher than the hypothetical safety threshold of 1.0 particles/g (</w:t>
      </w:r>
      <w:proofErr w:type="gramStart"/>
      <w:r w:rsidRPr="00DD354D">
        <w:rPr>
          <w:rFonts w:ascii="Times New Roman" w:eastAsia="Times New Roman" w:hAnsi="Times New Roman"/>
          <w:i/>
          <w:sz w:val="24"/>
          <w:szCs w:val="24"/>
        </w:rPr>
        <w:t>t(</w:t>
      </w:r>
      <w:proofErr w:type="gramEnd"/>
      <w:r w:rsidRPr="00DD354D">
        <w:rPr>
          <w:rFonts w:ascii="Times New Roman" w:eastAsia="Times New Roman" w:hAnsi="Times New Roman"/>
          <w:i/>
          <w:sz w:val="24"/>
          <w:szCs w:val="24"/>
        </w:rPr>
        <w:t xml:space="preserve">9) = 6.460, p &lt; 0.001). Furthermore, an independent samples t-test revealed that PET-packaged foods had significantly higher </w:t>
      </w:r>
      <w:proofErr w:type="spellStart"/>
      <w:r w:rsidRPr="00DD354D">
        <w:rPr>
          <w:rFonts w:ascii="Times New Roman" w:eastAsia="Times New Roman" w:hAnsi="Times New Roman"/>
          <w:i/>
          <w:sz w:val="24"/>
          <w:szCs w:val="24"/>
        </w:rPr>
        <w:t>microplastic</w:t>
      </w:r>
      <w:proofErr w:type="spellEnd"/>
      <w:r w:rsidRPr="00DD354D">
        <w:rPr>
          <w:rFonts w:ascii="Times New Roman" w:eastAsia="Times New Roman" w:hAnsi="Times New Roman"/>
          <w:i/>
          <w:sz w:val="24"/>
          <w:szCs w:val="24"/>
        </w:rPr>
        <w:t xml:space="preserve"> concentrations compared to those packaged in PP or HDPE containers (p &lt; 0.001). The survey results showed that 94.1% of respondents demonstrated high awareness of plastic packaging risks, while 87.4% had a strong perception of its health risks, and 91.6% were concerned about environmental consequences. A Chi-square test confirmed a statistically significant relationship between awareness levels and risk perceptions (</w:t>
      </w:r>
      <w:proofErr w:type="gramStart"/>
      <w:r w:rsidRPr="00DD354D">
        <w:rPr>
          <w:rFonts w:ascii="Times New Roman" w:eastAsia="Times New Roman" w:hAnsi="Times New Roman"/>
          <w:i/>
          <w:sz w:val="24"/>
          <w:szCs w:val="24"/>
        </w:rPr>
        <w:t>χ²(</w:t>
      </w:r>
      <w:proofErr w:type="gramEnd"/>
      <w:r w:rsidRPr="00DD354D">
        <w:rPr>
          <w:rFonts w:ascii="Times New Roman" w:eastAsia="Times New Roman" w:hAnsi="Times New Roman"/>
          <w:i/>
          <w:sz w:val="24"/>
          <w:szCs w:val="24"/>
        </w:rPr>
        <w:t xml:space="preserve">4) = 11.7692, p = 0.0192). The study concluded that plastic packaging contributes to </w:t>
      </w:r>
      <w:proofErr w:type="spellStart"/>
      <w:r w:rsidRPr="00DD354D">
        <w:rPr>
          <w:rFonts w:ascii="Times New Roman" w:eastAsia="Times New Roman" w:hAnsi="Times New Roman"/>
          <w:i/>
          <w:sz w:val="24"/>
          <w:szCs w:val="24"/>
        </w:rPr>
        <w:t>microplastic</w:t>
      </w:r>
      <w:proofErr w:type="spellEnd"/>
      <w:r w:rsidRPr="00DD354D">
        <w:rPr>
          <w:rFonts w:ascii="Times New Roman" w:eastAsia="Times New Roman" w:hAnsi="Times New Roman"/>
          <w:i/>
          <w:sz w:val="24"/>
          <w:szCs w:val="24"/>
        </w:rPr>
        <w:t xml:space="preserve"> </w:t>
      </w:r>
      <w:proofErr w:type="gramStart"/>
      <w:r w:rsidRPr="00DD354D">
        <w:rPr>
          <w:rFonts w:ascii="Times New Roman" w:eastAsia="Times New Roman" w:hAnsi="Times New Roman"/>
          <w:i/>
          <w:sz w:val="24"/>
          <w:szCs w:val="24"/>
        </w:rPr>
        <w:t>contamination  and</w:t>
      </w:r>
      <w:proofErr w:type="gramEnd"/>
      <w:r w:rsidRPr="00DD354D">
        <w:rPr>
          <w:rFonts w:ascii="Times New Roman" w:eastAsia="Times New Roman" w:hAnsi="Times New Roman"/>
          <w:i/>
          <w:sz w:val="24"/>
          <w:szCs w:val="24"/>
        </w:rPr>
        <w:t xml:space="preserve"> potential chemical exposure in food, posing risks to public health and environmental sustainability. It recommends urgent policy intervention, increased public education, and the promotion of biodegradable alternatives in food packaging systems.</w:t>
      </w:r>
    </w:p>
    <w:p w:rsidR="003939D5" w:rsidRPr="00DD354D" w:rsidRDefault="003939D5" w:rsidP="003939D5">
      <w:pPr>
        <w:spacing w:line="240" w:lineRule="auto"/>
        <w:jc w:val="both"/>
        <w:rPr>
          <w:rFonts w:ascii="Times New Roman" w:hAnsi="Times New Roman"/>
          <w:i/>
          <w:sz w:val="24"/>
          <w:szCs w:val="24"/>
        </w:rPr>
      </w:pPr>
    </w:p>
    <w:bookmarkEnd w:id="0"/>
    <w:p w:rsidR="00A0157A" w:rsidRPr="00FD523F" w:rsidRDefault="003939D5" w:rsidP="00FD523F">
      <w:pPr>
        <w:spacing w:line="240" w:lineRule="auto"/>
        <w:jc w:val="both"/>
        <w:rPr>
          <w:rFonts w:ascii="Times New Roman" w:eastAsia="Times New Roman" w:hAnsi="Times New Roman"/>
          <w:sz w:val="24"/>
          <w:szCs w:val="24"/>
        </w:rPr>
      </w:pPr>
      <w:r>
        <w:rPr>
          <w:rFonts w:ascii="Times New Roman" w:eastAsia="Times New Roman" w:hAnsi="Times New Roman"/>
          <w:b/>
          <w:bCs/>
          <w:sz w:val="24"/>
          <w:szCs w:val="24"/>
        </w:rPr>
        <w:t>Keywords:</w:t>
      </w:r>
      <w:r>
        <w:rPr>
          <w:rFonts w:ascii="Times New Roman" w:eastAsia="Times New Roman" w:hAnsi="Times New Roman"/>
          <w:sz w:val="24"/>
          <w:szCs w:val="24"/>
        </w:rPr>
        <w:t xml:space="preserve"> Plastic packaging, micro plastics, chemical leaching, environmental health, consumer perception, food safety</w:t>
      </w:r>
    </w:p>
    <w:p w:rsidR="003939D5" w:rsidRDefault="003939D5"/>
    <w:p w:rsidR="003939D5" w:rsidRDefault="003939D5" w:rsidP="003939D5">
      <w:pPr>
        <w:spacing w:line="360" w:lineRule="auto"/>
        <w:jc w:val="center"/>
        <w:rPr>
          <w:rFonts w:ascii="Times New Roman" w:hAnsi="Times New Roman"/>
          <w:b/>
          <w:bCs/>
          <w:color w:val="000000"/>
          <w:sz w:val="24"/>
          <w:szCs w:val="24"/>
        </w:rPr>
      </w:pPr>
      <w:r>
        <w:tab/>
      </w:r>
      <w:r>
        <w:tab/>
      </w:r>
      <w:r>
        <w:tab/>
      </w:r>
      <w:r>
        <w:tab/>
      </w:r>
      <w:r>
        <w:tab/>
      </w:r>
      <w:r>
        <w:tab/>
      </w:r>
      <w:r>
        <w:tab/>
      </w:r>
      <w:r>
        <w:tab/>
      </w:r>
      <w:r>
        <w:tab/>
      </w:r>
      <w:r>
        <w:tab/>
      </w:r>
      <w:r>
        <w:tab/>
      </w:r>
      <w:r>
        <w:rPr>
          <w:rFonts w:ascii="Times New Roman" w:hAnsi="Times New Roman"/>
          <w:b/>
          <w:bCs/>
          <w:color w:val="000000"/>
          <w:sz w:val="24"/>
          <w:szCs w:val="24"/>
        </w:rPr>
        <w:t>NOVEMBER, 2025</w:t>
      </w:r>
    </w:p>
    <w:p w:rsidR="000105FE" w:rsidRDefault="000105FE" w:rsidP="003939D5">
      <w:pPr>
        <w:spacing w:line="360" w:lineRule="auto"/>
        <w:jc w:val="center"/>
        <w:rPr>
          <w:rFonts w:ascii="Times New Roman" w:hAnsi="Times New Roman"/>
          <w:b/>
          <w:bCs/>
          <w:color w:val="000000"/>
          <w:sz w:val="24"/>
          <w:szCs w:val="24"/>
        </w:rPr>
      </w:pPr>
    </w:p>
    <w:p w:rsidR="000105FE" w:rsidRPr="000105FE" w:rsidRDefault="000105FE" w:rsidP="000105FE">
      <w:pPr>
        <w:spacing w:line="360" w:lineRule="auto"/>
        <w:jc w:val="center"/>
        <w:rPr>
          <w:rFonts w:ascii="Times New Roman" w:hAnsi="Times New Roman" w:cs="Times New Roman"/>
          <w:b/>
          <w:bCs/>
          <w:color w:val="000000"/>
          <w:sz w:val="28"/>
          <w:szCs w:val="28"/>
        </w:rPr>
      </w:pPr>
    </w:p>
    <w:p w:rsidR="00FD523F" w:rsidRDefault="00FD523F" w:rsidP="00FD523F">
      <w:pPr>
        <w:spacing w:after="13" w:line="240" w:lineRule="auto"/>
        <w:ind w:right="6"/>
        <w:jc w:val="center"/>
        <w:rPr>
          <w:rFonts w:ascii="Times New Roman" w:hAnsi="Times New Roman"/>
          <w:b/>
          <w:color w:val="000000"/>
          <w:sz w:val="24"/>
          <w:szCs w:val="24"/>
        </w:rPr>
      </w:pPr>
    </w:p>
    <w:p w:rsidR="00FD523F" w:rsidRDefault="00FD523F" w:rsidP="00FD523F">
      <w:pPr>
        <w:spacing w:after="19" w:line="240" w:lineRule="auto"/>
        <w:jc w:val="center"/>
        <w:rPr>
          <w:rFonts w:ascii="Times New Roman" w:hAnsi="Times New Roman"/>
          <w:b/>
          <w:color w:val="000000"/>
          <w:sz w:val="24"/>
          <w:szCs w:val="24"/>
        </w:rPr>
      </w:pPr>
    </w:p>
    <w:p w:rsidR="00FD523F" w:rsidRPr="00FD523F" w:rsidRDefault="00FD523F" w:rsidP="00FD523F">
      <w:pPr>
        <w:tabs>
          <w:tab w:val="left" w:pos="1800"/>
        </w:tabs>
        <w:ind w:left="360" w:hanging="90"/>
        <w:jc w:val="center"/>
        <w:rPr>
          <w:rFonts w:ascii="Times New Roman" w:eastAsiaTheme="majorEastAsia" w:hAnsi="Times New Roman"/>
          <w:b/>
          <w:sz w:val="28"/>
          <w:szCs w:val="28"/>
        </w:rPr>
      </w:pPr>
    </w:p>
    <w:p w:rsidR="000105FE" w:rsidRDefault="000105FE" w:rsidP="003B277F">
      <w:pPr>
        <w:spacing w:line="360" w:lineRule="auto"/>
        <w:jc w:val="center"/>
        <w:rPr>
          <w:rFonts w:ascii="Times New Roman" w:hAnsi="Times New Roman" w:cs="Times New Roman"/>
          <w:b/>
          <w:bCs/>
          <w:iCs/>
          <w:sz w:val="28"/>
          <w:szCs w:val="28"/>
        </w:rPr>
      </w:pPr>
      <w:r w:rsidRPr="000105FE">
        <w:rPr>
          <w:rFonts w:ascii="Times New Roman" w:eastAsia="Calibri" w:hAnsi="Times New Roman" w:cs="Times New Roman"/>
          <w:b/>
          <w:bCs/>
          <w:iCs/>
          <w:sz w:val="28"/>
          <w:szCs w:val="28"/>
        </w:rPr>
        <w:lastRenderedPageBreak/>
        <w:t xml:space="preserve">Assessment </w:t>
      </w:r>
      <w:r w:rsidR="00F06B96" w:rsidRPr="000105FE">
        <w:rPr>
          <w:rFonts w:ascii="Times New Roman" w:eastAsia="Calibri" w:hAnsi="Times New Roman" w:cs="Times New Roman"/>
          <w:b/>
          <w:bCs/>
          <w:iCs/>
          <w:sz w:val="28"/>
          <w:szCs w:val="28"/>
        </w:rPr>
        <w:t>of</w:t>
      </w:r>
      <w:r w:rsidRPr="000105FE">
        <w:rPr>
          <w:rFonts w:ascii="Times New Roman" w:eastAsia="Calibri" w:hAnsi="Times New Roman" w:cs="Times New Roman"/>
          <w:b/>
          <w:bCs/>
          <w:iCs/>
          <w:sz w:val="28"/>
          <w:szCs w:val="28"/>
        </w:rPr>
        <w:t xml:space="preserve"> Food Safety Practices </w:t>
      </w:r>
      <w:proofErr w:type="gramStart"/>
      <w:r w:rsidRPr="000105FE">
        <w:rPr>
          <w:rFonts w:ascii="Times New Roman" w:eastAsia="Calibri" w:hAnsi="Times New Roman" w:cs="Times New Roman"/>
          <w:b/>
          <w:bCs/>
          <w:iCs/>
          <w:sz w:val="28"/>
          <w:szCs w:val="28"/>
        </w:rPr>
        <w:t>Among</w:t>
      </w:r>
      <w:proofErr w:type="gramEnd"/>
      <w:r w:rsidRPr="000105FE">
        <w:rPr>
          <w:rFonts w:ascii="Times New Roman" w:eastAsia="Calibri" w:hAnsi="Times New Roman" w:cs="Times New Roman"/>
          <w:b/>
          <w:bCs/>
          <w:iCs/>
          <w:sz w:val="28"/>
          <w:szCs w:val="28"/>
        </w:rPr>
        <w:t xml:space="preserve"> Food Vendors in Selected Motor Parks in </w:t>
      </w:r>
      <w:proofErr w:type="spellStart"/>
      <w:r w:rsidRPr="000105FE">
        <w:rPr>
          <w:rFonts w:ascii="Times New Roman" w:eastAsia="Calibri" w:hAnsi="Times New Roman" w:cs="Times New Roman"/>
          <w:b/>
          <w:bCs/>
          <w:iCs/>
          <w:sz w:val="28"/>
          <w:szCs w:val="28"/>
        </w:rPr>
        <w:t>Ikeja</w:t>
      </w:r>
      <w:proofErr w:type="spellEnd"/>
      <w:r w:rsidRPr="000105FE">
        <w:rPr>
          <w:rFonts w:ascii="Times New Roman" w:eastAsia="Calibri" w:hAnsi="Times New Roman" w:cs="Times New Roman"/>
          <w:b/>
          <w:bCs/>
          <w:iCs/>
          <w:sz w:val="28"/>
          <w:szCs w:val="28"/>
        </w:rPr>
        <w:t xml:space="preserve"> Local Government Area of Lagos State</w:t>
      </w:r>
    </w:p>
    <w:p w:rsidR="000105FE" w:rsidRDefault="000105FE" w:rsidP="000105FE">
      <w:pPr>
        <w:spacing w:line="360" w:lineRule="auto"/>
        <w:jc w:val="center"/>
        <w:rPr>
          <w:rFonts w:ascii="Times New Roman" w:hAnsi="Times New Roman"/>
          <w:b/>
          <w:color w:val="000000"/>
          <w:sz w:val="24"/>
          <w:szCs w:val="24"/>
        </w:rPr>
      </w:pPr>
      <w:r w:rsidRPr="00F06B96">
        <w:rPr>
          <w:rFonts w:ascii="Times New Roman" w:hAnsi="Times New Roman"/>
          <w:b/>
          <w:color w:val="000000"/>
          <w:sz w:val="24"/>
          <w:szCs w:val="24"/>
        </w:rPr>
        <w:t>BY</w:t>
      </w:r>
    </w:p>
    <w:p w:rsidR="003B277F" w:rsidRDefault="003B277F" w:rsidP="000105FE">
      <w:pPr>
        <w:spacing w:line="360" w:lineRule="auto"/>
        <w:jc w:val="center"/>
        <w:rPr>
          <w:rFonts w:ascii="Times New Roman" w:hAnsi="Times New Roman"/>
          <w:b/>
          <w:color w:val="000000"/>
          <w:sz w:val="24"/>
          <w:szCs w:val="24"/>
        </w:rPr>
      </w:pPr>
      <w:r>
        <w:rPr>
          <w:rFonts w:ascii="Times New Roman" w:hAnsi="Times New Roman"/>
          <w:b/>
          <w:color w:val="000000"/>
          <w:sz w:val="24"/>
          <w:szCs w:val="24"/>
        </w:rPr>
        <w:t>FASINU, DOSA FELIX</w:t>
      </w:r>
    </w:p>
    <w:p w:rsidR="003B277F" w:rsidRDefault="003B277F" w:rsidP="003B277F">
      <w:pPr>
        <w:spacing w:after="0"/>
        <w:ind w:left="3600" w:firstLine="720"/>
        <w:rPr>
          <w:rFonts w:ascii="Times New Roman" w:hAnsi="Times New Roman"/>
          <w:b/>
          <w:sz w:val="24"/>
          <w:szCs w:val="24"/>
        </w:rPr>
      </w:pPr>
      <w:r>
        <w:rPr>
          <w:rFonts w:ascii="Times New Roman" w:hAnsi="Times New Roman"/>
          <w:b/>
          <w:sz w:val="24"/>
          <w:szCs w:val="24"/>
        </w:rPr>
        <w:t>23/57MEH/025</w:t>
      </w:r>
    </w:p>
    <w:p w:rsidR="000105FE" w:rsidRPr="000105FE" w:rsidRDefault="000105FE" w:rsidP="003B277F">
      <w:pPr>
        <w:spacing w:line="360" w:lineRule="auto"/>
        <w:rPr>
          <w:rFonts w:ascii="Times New Roman" w:eastAsia="Calibri" w:hAnsi="Times New Roman" w:cs="Times New Roman"/>
          <w:bCs/>
          <w:iCs/>
          <w:sz w:val="28"/>
          <w:szCs w:val="28"/>
        </w:rPr>
      </w:pPr>
    </w:p>
    <w:p w:rsidR="000105FE" w:rsidRPr="00602D63" w:rsidRDefault="00F06B96" w:rsidP="003B277F">
      <w:pPr>
        <w:ind w:left="3600" w:firstLine="720"/>
        <w:rPr>
          <w:rFonts w:ascii="Times New Roman" w:eastAsia="Calibri" w:hAnsi="Times New Roman" w:cs="Times New Roman"/>
          <w:b/>
          <w:bCs/>
          <w:sz w:val="24"/>
          <w:szCs w:val="24"/>
        </w:rPr>
      </w:pPr>
      <w:r w:rsidRPr="00602D63">
        <w:rPr>
          <w:rFonts w:ascii="Times New Roman" w:eastAsia="Calibri" w:hAnsi="Times New Roman" w:cs="Times New Roman"/>
          <w:b/>
          <w:bCs/>
          <w:sz w:val="24"/>
          <w:szCs w:val="24"/>
        </w:rPr>
        <w:t>ABSTRACT</w:t>
      </w:r>
    </w:p>
    <w:p w:rsidR="000105FE" w:rsidRDefault="000105FE" w:rsidP="000105FE">
      <w:pPr>
        <w:jc w:val="both"/>
        <w:rPr>
          <w:rFonts w:ascii="Times New Roman" w:eastAsia="Calibri" w:hAnsi="Times New Roman" w:cs="Times New Roman"/>
          <w:i/>
          <w:iCs/>
          <w:sz w:val="24"/>
          <w:szCs w:val="24"/>
        </w:rPr>
      </w:pPr>
      <w:r w:rsidRPr="00602D63">
        <w:rPr>
          <w:rFonts w:ascii="Times New Roman" w:eastAsia="Calibri" w:hAnsi="Times New Roman" w:cs="Times New Roman"/>
          <w:i/>
          <w:iCs/>
          <w:sz w:val="24"/>
          <w:szCs w:val="24"/>
        </w:rPr>
        <w:t xml:space="preserve">Food is any substance consumed to sustain life, support growth, and maintain body functions. This study examined food safety among street vendors operating in selected motor parks within </w:t>
      </w:r>
      <w:proofErr w:type="spellStart"/>
      <w:r w:rsidRPr="00602D63">
        <w:rPr>
          <w:rFonts w:ascii="Times New Roman" w:eastAsia="Calibri" w:hAnsi="Times New Roman" w:cs="Times New Roman"/>
          <w:i/>
          <w:iCs/>
          <w:sz w:val="24"/>
          <w:szCs w:val="24"/>
        </w:rPr>
        <w:t>Ikeja</w:t>
      </w:r>
      <w:proofErr w:type="spellEnd"/>
      <w:r w:rsidRPr="00602D63">
        <w:rPr>
          <w:rFonts w:ascii="Times New Roman" w:eastAsia="Calibri" w:hAnsi="Times New Roman" w:cs="Times New Roman"/>
          <w:i/>
          <w:iCs/>
          <w:sz w:val="24"/>
          <w:szCs w:val="24"/>
        </w:rPr>
        <w:t xml:space="preserve"> Local Government Area, Lagos State, Nigeria. </w:t>
      </w:r>
      <w:r w:rsidRPr="005C61FD">
        <w:rPr>
          <w:rFonts w:ascii="Times New Roman" w:eastAsia="Calibri" w:hAnsi="Times New Roman" w:cs="Times New Roman"/>
          <w:i/>
          <w:iCs/>
          <w:sz w:val="24"/>
          <w:szCs w:val="24"/>
        </w:rPr>
        <w:t>Street-vended food is an important part of urban nutrition and the informal economy but raises concerns due to poor hygiene and limited regulation.</w:t>
      </w:r>
      <w:r>
        <w:rPr>
          <w:rFonts w:ascii="Times New Roman" w:eastAsia="Calibri" w:hAnsi="Times New Roman" w:cs="Times New Roman"/>
          <w:i/>
          <w:iCs/>
          <w:sz w:val="24"/>
          <w:szCs w:val="24"/>
        </w:rPr>
        <w:t xml:space="preserve"> </w:t>
      </w:r>
      <w:r w:rsidRPr="00602D63">
        <w:rPr>
          <w:rFonts w:ascii="Times New Roman" w:eastAsia="Calibri" w:hAnsi="Times New Roman" w:cs="Times New Roman"/>
          <w:i/>
          <w:iCs/>
          <w:sz w:val="24"/>
          <w:szCs w:val="24"/>
        </w:rPr>
        <w:t xml:space="preserve">A cross-sectional mixed-methods design combined structured questionnaires, checklists, in-depth interviews, and laboratory analyses to assess vendors’ knowledge, test food samples for bacteriological contamination, and evaluate compliance with food safety standards. Stratified random sampling was used to select 150 vendors across five motor park clusters. Food samples were analyzed for total bacterial count using ISO 4833-2:2013 and for heavy metals with atomic absorption </w:t>
      </w:r>
      <w:proofErr w:type="spellStart"/>
      <w:r w:rsidRPr="00602D63">
        <w:rPr>
          <w:rFonts w:ascii="Times New Roman" w:eastAsia="Calibri" w:hAnsi="Times New Roman" w:cs="Times New Roman"/>
          <w:i/>
          <w:iCs/>
          <w:sz w:val="24"/>
          <w:szCs w:val="24"/>
        </w:rPr>
        <w:t>spectrophotometry</w:t>
      </w:r>
      <w:proofErr w:type="spellEnd"/>
      <w:r w:rsidRPr="00602D63">
        <w:rPr>
          <w:rFonts w:ascii="Times New Roman" w:eastAsia="Calibri" w:hAnsi="Times New Roman" w:cs="Times New Roman"/>
          <w:i/>
          <w:iCs/>
          <w:sz w:val="24"/>
          <w:szCs w:val="24"/>
        </w:rPr>
        <w:t xml:space="preserve">. Results revealed a clear mismatch between vendors’ self-reported knowledge and actual hygiene practices. Most lacked formal training and operated in unsanitary environments, which correlated with high </w:t>
      </w:r>
      <w:proofErr w:type="spellStart"/>
      <w:r w:rsidRPr="00602D63">
        <w:rPr>
          <w:rFonts w:ascii="Times New Roman" w:eastAsia="Calibri" w:hAnsi="Times New Roman" w:cs="Times New Roman"/>
          <w:i/>
          <w:iCs/>
          <w:sz w:val="24"/>
          <w:szCs w:val="24"/>
        </w:rPr>
        <w:t>bacterial</w:t>
      </w:r>
      <w:proofErr w:type="spellEnd"/>
      <w:r w:rsidRPr="00602D63">
        <w:rPr>
          <w:rFonts w:ascii="Times New Roman" w:eastAsia="Calibri" w:hAnsi="Times New Roman" w:cs="Times New Roman"/>
          <w:i/>
          <w:iCs/>
          <w:sz w:val="24"/>
          <w:szCs w:val="24"/>
        </w:rPr>
        <w:t xml:space="preserve"> counts and detectable heavy metals in food samples. Compliance with regulatory requirements was poor, with only a few vendors meeting acceptable standards for preparation, handling, and sanitation. Motor parks were identified as particularly high-risk due to exposure to vehicular emissions, dust, and crowding, which elevate contamination risks. The study found that improving food safety in informal markets requires targeted health education, stricter enforcement of regulations, and infrastructural upgrades. These findings contribute to efforts to build safer urban food systems, support Sustainable Development Goals on health and resilient cities, and provide lessons relevant to other sub-Saharan African contexts.</w:t>
      </w:r>
    </w:p>
    <w:p w:rsidR="000105FE" w:rsidRDefault="000105FE" w:rsidP="000105FE">
      <w:pPr>
        <w:spacing w:line="360" w:lineRule="auto"/>
        <w:jc w:val="both"/>
        <w:rPr>
          <w:rFonts w:ascii="Times New Roman" w:eastAsia="Calibri" w:hAnsi="Times New Roman" w:cs="Times New Roman"/>
          <w:i/>
          <w:iCs/>
          <w:sz w:val="24"/>
          <w:szCs w:val="24"/>
        </w:rPr>
      </w:pPr>
      <w:r w:rsidRPr="002267B3">
        <w:rPr>
          <w:rFonts w:ascii="Times New Roman" w:eastAsia="Calibri" w:hAnsi="Times New Roman" w:cs="Times New Roman"/>
          <w:i/>
          <w:iCs/>
          <w:sz w:val="24"/>
          <w:szCs w:val="24"/>
        </w:rPr>
        <w:t>Keywords: Food Safety, Food Vendors, Motor Parks, Contamination, Lagos State</w:t>
      </w:r>
    </w:p>
    <w:p w:rsidR="000105FE" w:rsidRDefault="000105FE" w:rsidP="000105FE">
      <w:pPr>
        <w:spacing w:line="360" w:lineRule="auto"/>
        <w:jc w:val="both"/>
        <w:rPr>
          <w:rFonts w:ascii="Times New Roman" w:eastAsia="Calibri" w:hAnsi="Times New Roman" w:cs="Times New Roman"/>
          <w:i/>
          <w:iCs/>
          <w:sz w:val="24"/>
          <w:szCs w:val="24"/>
        </w:rPr>
      </w:pPr>
    </w:p>
    <w:p w:rsidR="000105FE" w:rsidRDefault="000105FE" w:rsidP="000105FE">
      <w:pPr>
        <w:spacing w:line="360" w:lineRule="auto"/>
        <w:jc w:val="both"/>
        <w:rPr>
          <w:rFonts w:ascii="Times New Roman" w:eastAsia="Calibri" w:hAnsi="Times New Roman" w:cs="Times New Roman"/>
          <w:i/>
          <w:iCs/>
          <w:sz w:val="24"/>
          <w:szCs w:val="24"/>
        </w:rPr>
      </w:pPr>
    </w:p>
    <w:p w:rsidR="000105FE" w:rsidRDefault="000105FE" w:rsidP="000105FE">
      <w:pPr>
        <w:spacing w:line="360" w:lineRule="auto"/>
        <w:jc w:val="both"/>
        <w:rPr>
          <w:rFonts w:ascii="Times New Roman" w:eastAsia="Calibri" w:hAnsi="Times New Roman" w:cs="Times New Roman"/>
          <w:i/>
          <w:iCs/>
          <w:sz w:val="24"/>
          <w:szCs w:val="24"/>
        </w:rPr>
      </w:pPr>
    </w:p>
    <w:p w:rsidR="000105FE" w:rsidRDefault="000105FE" w:rsidP="000105FE">
      <w:pPr>
        <w:spacing w:line="36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r>
      <w:r>
        <w:rPr>
          <w:rFonts w:ascii="Times New Roman" w:hAnsi="Times New Roman"/>
          <w:b/>
          <w:bCs/>
          <w:color w:val="000000"/>
          <w:sz w:val="24"/>
          <w:szCs w:val="24"/>
        </w:rPr>
        <w:t>NOVEMBER, 2025</w:t>
      </w:r>
    </w:p>
    <w:p w:rsidR="000105FE" w:rsidRDefault="000105FE" w:rsidP="000105FE">
      <w:pPr>
        <w:spacing w:line="360" w:lineRule="auto"/>
        <w:jc w:val="both"/>
        <w:rPr>
          <w:rFonts w:ascii="Times New Roman" w:eastAsia="Calibri" w:hAnsi="Times New Roman" w:cs="Times New Roman"/>
          <w:i/>
          <w:iCs/>
          <w:sz w:val="24"/>
          <w:szCs w:val="24"/>
        </w:rPr>
      </w:pPr>
    </w:p>
    <w:p w:rsidR="00FD523F" w:rsidRDefault="00FD523F" w:rsidP="000105FE">
      <w:pPr>
        <w:spacing w:after="486"/>
        <w:ind w:left="672" w:right="272"/>
        <w:jc w:val="center"/>
        <w:rPr>
          <w:rFonts w:ascii="Times New Roman" w:hAnsi="Times New Roman" w:cs="Times New Roman"/>
          <w:b/>
          <w:bCs/>
          <w:sz w:val="28"/>
          <w:szCs w:val="28"/>
        </w:rPr>
      </w:pPr>
    </w:p>
    <w:p w:rsidR="00FD523F" w:rsidRDefault="00FD523F" w:rsidP="000105FE">
      <w:pPr>
        <w:spacing w:after="486"/>
        <w:ind w:left="672" w:right="272"/>
        <w:jc w:val="center"/>
        <w:rPr>
          <w:rFonts w:ascii="Times New Roman" w:hAnsi="Times New Roman" w:cs="Times New Roman"/>
          <w:b/>
          <w:bCs/>
          <w:sz w:val="28"/>
          <w:szCs w:val="28"/>
        </w:rPr>
      </w:pPr>
    </w:p>
    <w:p w:rsidR="00FD523F" w:rsidRDefault="00FD523F" w:rsidP="00FD523F">
      <w:pPr>
        <w:spacing w:after="13" w:line="240" w:lineRule="auto"/>
        <w:ind w:right="6"/>
        <w:jc w:val="center"/>
        <w:rPr>
          <w:rFonts w:ascii="Times New Roman" w:hAnsi="Times New Roman"/>
          <w:b/>
          <w:color w:val="000000"/>
          <w:sz w:val="24"/>
          <w:szCs w:val="24"/>
        </w:rPr>
      </w:pPr>
    </w:p>
    <w:p w:rsidR="00FD523F" w:rsidRDefault="00FD523F" w:rsidP="00D156FF">
      <w:pPr>
        <w:tabs>
          <w:tab w:val="left" w:pos="1800"/>
        </w:tabs>
        <w:rPr>
          <w:rFonts w:ascii="Times New Roman" w:eastAsiaTheme="majorEastAsia" w:hAnsi="Times New Roman"/>
          <w:b/>
          <w:sz w:val="28"/>
          <w:szCs w:val="28"/>
        </w:rPr>
      </w:pPr>
    </w:p>
    <w:p w:rsidR="00FD523F" w:rsidRPr="00FD523F" w:rsidRDefault="00FD523F" w:rsidP="00FD523F">
      <w:pPr>
        <w:tabs>
          <w:tab w:val="left" w:pos="1800"/>
        </w:tabs>
        <w:ind w:left="360" w:hanging="90"/>
        <w:jc w:val="center"/>
        <w:rPr>
          <w:rFonts w:ascii="Times New Roman" w:eastAsiaTheme="majorEastAsia" w:hAnsi="Times New Roman"/>
          <w:b/>
          <w:sz w:val="28"/>
          <w:szCs w:val="28"/>
        </w:rPr>
      </w:pPr>
    </w:p>
    <w:p w:rsidR="000105FE" w:rsidRPr="000105FE" w:rsidRDefault="000105FE" w:rsidP="00FD523F">
      <w:pPr>
        <w:spacing w:after="486"/>
        <w:ind w:left="672" w:right="272"/>
        <w:jc w:val="center"/>
        <w:rPr>
          <w:rFonts w:ascii="Times New Roman" w:hAnsi="Times New Roman" w:cs="Times New Roman"/>
          <w:b/>
          <w:bCs/>
          <w:sz w:val="28"/>
          <w:szCs w:val="28"/>
        </w:rPr>
      </w:pPr>
      <w:r w:rsidRPr="000105FE">
        <w:rPr>
          <w:rFonts w:ascii="Times New Roman" w:hAnsi="Times New Roman" w:cs="Times New Roman"/>
          <w:b/>
          <w:bCs/>
          <w:sz w:val="28"/>
          <w:szCs w:val="28"/>
        </w:rPr>
        <w:t xml:space="preserve">ASSESSMENT OF HAZARD ANALYSIS  CRITICALCONTROL POINT COMPLIANCE IN SOME SELECTED HOTELS AND RESTAURANTS IN ETI-OSA LOCAL GOVERNMENT,  LAGOS  STATE,  NIGERIA </w:t>
      </w:r>
    </w:p>
    <w:p w:rsidR="000105FE" w:rsidRPr="000105FE" w:rsidRDefault="000105FE" w:rsidP="000105FE">
      <w:pPr>
        <w:spacing w:after="486"/>
        <w:ind w:left="672" w:right="272"/>
        <w:jc w:val="center"/>
        <w:rPr>
          <w:rFonts w:ascii="Times New Roman" w:hAnsi="Times New Roman" w:cs="Times New Roman"/>
          <w:sz w:val="28"/>
          <w:szCs w:val="28"/>
        </w:rPr>
      </w:pPr>
      <w:r w:rsidRPr="000105FE">
        <w:rPr>
          <w:rFonts w:ascii="Times New Roman" w:hAnsi="Times New Roman" w:cs="Times New Roman"/>
          <w:b/>
          <w:bCs/>
          <w:sz w:val="28"/>
          <w:szCs w:val="28"/>
        </w:rPr>
        <w:t>BY:</w:t>
      </w:r>
    </w:p>
    <w:p w:rsidR="000105FE" w:rsidRPr="000105FE" w:rsidRDefault="000105FE" w:rsidP="000105FE">
      <w:pPr>
        <w:spacing w:after="285"/>
        <w:ind w:left="758" w:right="82"/>
        <w:jc w:val="center"/>
        <w:rPr>
          <w:rFonts w:ascii="Times New Roman" w:hAnsi="Times New Roman" w:cs="Times New Roman"/>
          <w:b/>
          <w:sz w:val="28"/>
          <w:szCs w:val="28"/>
        </w:rPr>
      </w:pPr>
      <w:r w:rsidRPr="000105FE">
        <w:rPr>
          <w:rFonts w:ascii="Times New Roman" w:hAnsi="Times New Roman" w:cs="Times New Roman"/>
          <w:b/>
          <w:sz w:val="28"/>
          <w:szCs w:val="28"/>
        </w:rPr>
        <w:t>YUSUF ADESHOLA AROLE</w:t>
      </w:r>
    </w:p>
    <w:p w:rsidR="000105FE" w:rsidRPr="000105FE" w:rsidRDefault="000105FE" w:rsidP="000105FE">
      <w:pPr>
        <w:spacing w:after="285"/>
        <w:ind w:left="758" w:right="82"/>
        <w:jc w:val="center"/>
        <w:rPr>
          <w:rFonts w:ascii="Times New Roman" w:hAnsi="Times New Roman" w:cs="Times New Roman"/>
          <w:b/>
          <w:sz w:val="28"/>
          <w:szCs w:val="28"/>
        </w:rPr>
      </w:pPr>
      <w:r w:rsidRPr="000105FE">
        <w:rPr>
          <w:rFonts w:ascii="Times New Roman" w:hAnsi="Times New Roman" w:cs="Times New Roman"/>
          <w:b/>
          <w:sz w:val="28"/>
          <w:szCs w:val="28"/>
        </w:rPr>
        <w:t>23/57MEH/042</w:t>
      </w:r>
    </w:p>
    <w:p w:rsidR="000105FE" w:rsidRDefault="000105FE" w:rsidP="000105FE">
      <w:pPr>
        <w:spacing w:after="285"/>
        <w:ind w:left="758" w:right="82"/>
        <w:jc w:val="center"/>
        <w:rPr>
          <w:b/>
          <w:sz w:val="28"/>
          <w:szCs w:val="28"/>
        </w:rPr>
      </w:pPr>
    </w:p>
    <w:p w:rsidR="000105FE" w:rsidRPr="00F06B96" w:rsidRDefault="000105FE" w:rsidP="000105FE">
      <w:pPr>
        <w:spacing w:before="240" w:line="480" w:lineRule="auto"/>
        <w:jc w:val="center"/>
        <w:rPr>
          <w:rFonts w:ascii="Times New Roman" w:hAnsi="Times New Roman" w:cs="Times New Roman"/>
          <w:b/>
          <w:bCs/>
          <w:szCs w:val="24"/>
        </w:rPr>
      </w:pPr>
      <w:r w:rsidRPr="00F06B96">
        <w:rPr>
          <w:rFonts w:ascii="Times New Roman" w:hAnsi="Times New Roman" w:cs="Times New Roman"/>
          <w:b/>
          <w:bCs/>
          <w:szCs w:val="24"/>
        </w:rPr>
        <w:t>ABSTRACT</w:t>
      </w:r>
    </w:p>
    <w:p w:rsidR="000105FE" w:rsidRPr="00F06B96" w:rsidRDefault="000105FE" w:rsidP="000105FE">
      <w:pPr>
        <w:spacing w:before="240" w:line="240" w:lineRule="auto"/>
        <w:rPr>
          <w:i/>
          <w:sz w:val="24"/>
          <w:szCs w:val="24"/>
        </w:rPr>
      </w:pPr>
      <w:r w:rsidRPr="00F06B96">
        <w:rPr>
          <w:i/>
          <w:sz w:val="24"/>
          <w:szCs w:val="24"/>
        </w:rPr>
        <w:t xml:space="preserve">Hazard Analysis and Critical Control Point (HACCP) is a globally recognized food safety system that ensures the identification, monitoring, and control of food safety hazards in food </w:t>
      </w:r>
      <w:bookmarkStart w:id="1" w:name="_GoBack"/>
      <w:bookmarkEnd w:id="1"/>
      <w:r w:rsidRPr="00F06B96">
        <w:rPr>
          <w:i/>
          <w:sz w:val="24"/>
          <w:szCs w:val="24"/>
        </w:rPr>
        <w:t xml:space="preserve">service establishments. </w:t>
      </w:r>
      <w:proofErr w:type="gramStart"/>
      <w:r w:rsidRPr="00F06B96">
        <w:rPr>
          <w:i/>
          <w:sz w:val="24"/>
          <w:szCs w:val="24"/>
        </w:rPr>
        <w:t>The  study</w:t>
      </w:r>
      <w:proofErr w:type="gramEnd"/>
      <w:r w:rsidRPr="00F06B96">
        <w:rPr>
          <w:i/>
          <w:sz w:val="24"/>
          <w:szCs w:val="24"/>
        </w:rPr>
        <w:t xml:space="preserve">  uses a descriptive cross-sectional survey was conducted among 200 food handlers from 10 hotels and 10 restaurants using a structured questionnaire and a 20-item HACCP compliance checklist. Observational data were also collected. Data were analyzed using SPSS version 26, with descriptive and inferential statistics including chi-square and independent samples t-tests (α = 0.05). Among hotel respondents, 67.2% were female, and 50% had tertiary education. In restaurants, 61.9% were female, and 41% had tertiary education. Most food handlers in both groups demonstrated good knowledge of HACCP (hotels: 70%; restaurants: 65%) and positive attitudes, though practice was weak in documentation and monitoring. HACCP implementation was partial; only 60% of checklist items were consistently met in restaurants and 48% in hotels. Major barriers included lack of training (reported by 62.8%), high costs, and poor managerial support. A significant difference in HACCP compliance was observed between restaurants (M = 68.07, SD = 11.86) and hotels (M = 56.60, SD = 17.33), </w:t>
      </w:r>
      <w:proofErr w:type="gramStart"/>
      <w:r w:rsidRPr="00F06B96">
        <w:rPr>
          <w:i/>
          <w:sz w:val="24"/>
          <w:szCs w:val="24"/>
        </w:rPr>
        <w:t>t(</w:t>
      </w:r>
      <w:proofErr w:type="gramEnd"/>
      <w:r w:rsidRPr="00F06B96">
        <w:rPr>
          <w:i/>
          <w:sz w:val="24"/>
          <w:szCs w:val="24"/>
        </w:rPr>
        <w:t>17.51) = 2.06, p = 0.049. Although knowledge and attitudes toward HACCP were generally positive among food handlers, practical implementation remained weak due to systemic and operational challenges. Standalone restaurants showed higher HACCP compliance than hotels, highlighting the need for tailored interventions.</w:t>
      </w:r>
    </w:p>
    <w:p w:rsidR="000105FE" w:rsidRPr="00F06B96" w:rsidRDefault="000105FE" w:rsidP="000105FE">
      <w:pPr>
        <w:spacing w:before="240" w:line="240" w:lineRule="auto"/>
        <w:rPr>
          <w:b/>
          <w:bCs/>
          <w:i/>
          <w:szCs w:val="24"/>
        </w:rPr>
      </w:pPr>
      <w:r w:rsidRPr="00F06B96">
        <w:rPr>
          <w:rStyle w:val="Strong"/>
          <w:i/>
          <w:szCs w:val="24"/>
        </w:rPr>
        <w:t>Keywords:</w:t>
      </w:r>
      <w:r w:rsidRPr="00F06B96">
        <w:rPr>
          <w:i/>
          <w:szCs w:val="24"/>
        </w:rPr>
        <w:t xml:space="preserve"> HACCP compliance, food handlers, food safety, hospitality industry</w:t>
      </w:r>
    </w:p>
    <w:p w:rsidR="000105FE" w:rsidRPr="002267B3" w:rsidRDefault="00FD523F" w:rsidP="000105FE">
      <w:pPr>
        <w:spacing w:line="360" w:lineRule="auto"/>
        <w:jc w:val="both"/>
        <w:rPr>
          <w:rFonts w:ascii="Times New Roman" w:eastAsia="Calibri" w:hAnsi="Times New Roman" w:cs="Times New Roman"/>
          <w:i/>
          <w:iCs/>
          <w:sz w:val="24"/>
          <w:szCs w:val="24"/>
        </w:rPr>
      </w:pPr>
      <w:r>
        <w:rPr>
          <w:b/>
          <w:bCs/>
          <w:i/>
          <w:szCs w:val="24"/>
        </w:rPr>
        <w:tab/>
      </w:r>
      <w:r>
        <w:rPr>
          <w:b/>
          <w:bCs/>
          <w:i/>
          <w:szCs w:val="24"/>
        </w:rPr>
        <w:tab/>
      </w:r>
      <w:r>
        <w:rPr>
          <w:b/>
          <w:bCs/>
          <w:i/>
          <w:szCs w:val="24"/>
        </w:rPr>
        <w:tab/>
      </w:r>
      <w:r>
        <w:rPr>
          <w:b/>
          <w:bCs/>
          <w:i/>
          <w:szCs w:val="24"/>
        </w:rPr>
        <w:tab/>
      </w:r>
      <w:r>
        <w:rPr>
          <w:b/>
          <w:bCs/>
          <w:i/>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eastAsia="Calibri" w:hAnsi="Times New Roman" w:cs="Times New Roman"/>
          <w:i/>
          <w:iCs/>
          <w:sz w:val="24"/>
          <w:szCs w:val="24"/>
        </w:rPr>
        <w:tab/>
      </w:r>
      <w:r w:rsidR="000105FE">
        <w:rPr>
          <w:rFonts w:ascii="Times New Roman" w:hAnsi="Times New Roman"/>
          <w:b/>
          <w:bCs/>
          <w:color w:val="000000"/>
          <w:sz w:val="24"/>
          <w:szCs w:val="24"/>
        </w:rPr>
        <w:t>NOVEMBER, 2025</w:t>
      </w:r>
    </w:p>
    <w:p w:rsidR="000105FE" w:rsidRDefault="000105FE" w:rsidP="003939D5">
      <w:pPr>
        <w:spacing w:line="360" w:lineRule="auto"/>
        <w:jc w:val="center"/>
        <w:rPr>
          <w:rFonts w:ascii="Times New Roman" w:hAnsi="Times New Roman"/>
          <w:sz w:val="24"/>
          <w:szCs w:val="24"/>
        </w:rPr>
      </w:pPr>
    </w:p>
    <w:p w:rsidR="00B60656" w:rsidRDefault="00B60656" w:rsidP="00F06B96">
      <w:pPr>
        <w:spacing w:after="0"/>
        <w:jc w:val="center"/>
        <w:rPr>
          <w:rFonts w:ascii="Times New Roman" w:hAnsi="Times New Roman"/>
          <w:b/>
          <w:sz w:val="28"/>
          <w:szCs w:val="28"/>
        </w:rPr>
      </w:pPr>
    </w:p>
    <w:p w:rsidR="00B60656" w:rsidRDefault="00B60656" w:rsidP="00B60656">
      <w:pPr>
        <w:spacing w:after="13" w:line="240" w:lineRule="auto"/>
        <w:ind w:right="6"/>
        <w:jc w:val="center"/>
        <w:rPr>
          <w:rFonts w:ascii="Times New Roman" w:hAnsi="Times New Roman"/>
          <w:b/>
          <w:sz w:val="28"/>
          <w:szCs w:val="28"/>
        </w:rPr>
      </w:pPr>
    </w:p>
    <w:p w:rsidR="00B60656" w:rsidRDefault="00B60656" w:rsidP="00B60656">
      <w:pPr>
        <w:spacing w:after="13" w:line="240" w:lineRule="auto"/>
        <w:ind w:right="6"/>
        <w:jc w:val="center"/>
        <w:rPr>
          <w:rFonts w:ascii="Times New Roman" w:hAnsi="Times New Roman"/>
          <w:b/>
          <w:color w:val="000000"/>
          <w:sz w:val="24"/>
          <w:szCs w:val="24"/>
        </w:rPr>
      </w:pPr>
    </w:p>
    <w:p w:rsidR="00B60656" w:rsidRDefault="00B60656" w:rsidP="00B60656">
      <w:pPr>
        <w:spacing w:after="19" w:line="240" w:lineRule="auto"/>
        <w:jc w:val="center"/>
        <w:rPr>
          <w:rFonts w:ascii="Times New Roman" w:hAnsi="Times New Roman"/>
          <w:b/>
          <w:color w:val="000000"/>
          <w:sz w:val="24"/>
          <w:szCs w:val="24"/>
        </w:rPr>
      </w:pPr>
    </w:p>
    <w:p w:rsidR="00B60656" w:rsidRPr="00B60656" w:rsidRDefault="00B60656" w:rsidP="00B60656">
      <w:pPr>
        <w:tabs>
          <w:tab w:val="left" w:pos="1800"/>
        </w:tabs>
        <w:ind w:left="360" w:hanging="90"/>
        <w:jc w:val="center"/>
        <w:rPr>
          <w:rFonts w:ascii="Times New Roman" w:eastAsiaTheme="majorEastAsia" w:hAnsi="Times New Roman"/>
          <w:b/>
          <w:sz w:val="28"/>
          <w:szCs w:val="28"/>
        </w:rPr>
      </w:pPr>
    </w:p>
    <w:p w:rsidR="00F06B96" w:rsidRPr="004A0E7D" w:rsidRDefault="00F06B96" w:rsidP="00F06B96">
      <w:pPr>
        <w:spacing w:after="0"/>
        <w:jc w:val="center"/>
        <w:rPr>
          <w:rFonts w:ascii="Times New Roman" w:hAnsi="Times New Roman"/>
          <w:b/>
          <w:sz w:val="28"/>
          <w:szCs w:val="28"/>
        </w:rPr>
      </w:pPr>
      <w:r w:rsidRPr="004A0E7D">
        <w:rPr>
          <w:rFonts w:ascii="Times New Roman" w:hAnsi="Times New Roman"/>
          <w:b/>
          <w:sz w:val="28"/>
          <w:szCs w:val="28"/>
        </w:rPr>
        <w:t>ASSESSMENT OF OCCUPATIONAL HEALTH RISKS AND SAFETY PRACTICES AMONG PETROLEUM STATION WORKERS IN BADORE COMMUNITY ETI OSA EAST LAGOS</w:t>
      </w:r>
    </w:p>
    <w:p w:rsidR="00F06B96" w:rsidRDefault="00F06B96" w:rsidP="00F06B96">
      <w:pPr>
        <w:spacing w:after="0" w:line="240" w:lineRule="auto"/>
        <w:rPr>
          <w:rFonts w:ascii="Times New Roman" w:hAnsi="Times New Roman"/>
        </w:rPr>
      </w:pPr>
    </w:p>
    <w:p w:rsidR="00F06B96" w:rsidRDefault="00F06B96" w:rsidP="00F06B96">
      <w:pPr>
        <w:spacing w:line="360" w:lineRule="auto"/>
        <w:jc w:val="center"/>
        <w:rPr>
          <w:rFonts w:ascii="Times New Roman" w:hAnsi="Times New Roman"/>
          <w:sz w:val="24"/>
          <w:szCs w:val="24"/>
        </w:rPr>
      </w:pPr>
      <w:r>
        <w:rPr>
          <w:rFonts w:ascii="Times New Roman" w:hAnsi="Times New Roman"/>
          <w:color w:val="000000"/>
          <w:sz w:val="24"/>
          <w:szCs w:val="24"/>
        </w:rPr>
        <w:t>BY</w:t>
      </w:r>
    </w:p>
    <w:p w:rsidR="00F06B96" w:rsidRPr="00F06B96" w:rsidRDefault="00F06B96" w:rsidP="00F06B96">
      <w:pPr>
        <w:spacing w:after="0"/>
        <w:jc w:val="center"/>
        <w:rPr>
          <w:rFonts w:ascii="Times New Roman" w:hAnsi="Times New Roman"/>
          <w:b/>
          <w:sz w:val="24"/>
          <w:szCs w:val="24"/>
        </w:rPr>
      </w:pPr>
      <w:r w:rsidRPr="00DD354D">
        <w:rPr>
          <w:rFonts w:ascii="Times New Roman" w:hAnsi="Times New Roman"/>
          <w:b/>
          <w:sz w:val="24"/>
          <w:szCs w:val="24"/>
        </w:rPr>
        <w:t>ADEGBOYEGA MONSURAT ADESOLA</w:t>
      </w:r>
    </w:p>
    <w:p w:rsidR="00B60656" w:rsidRDefault="00F06B96" w:rsidP="00B60656">
      <w:pPr>
        <w:spacing w:after="0"/>
        <w:jc w:val="center"/>
        <w:rPr>
          <w:rFonts w:ascii="Times New Roman" w:hAnsi="Times New Roman"/>
          <w:b/>
          <w:sz w:val="24"/>
          <w:szCs w:val="24"/>
        </w:rPr>
      </w:pPr>
      <w:r w:rsidRPr="00DD354D">
        <w:rPr>
          <w:rFonts w:ascii="Times New Roman" w:hAnsi="Times New Roman"/>
          <w:b/>
          <w:sz w:val="24"/>
          <w:szCs w:val="24"/>
        </w:rPr>
        <w:t>23/57MEH/044</w:t>
      </w:r>
    </w:p>
    <w:p w:rsidR="00F06B96" w:rsidRPr="00B60656" w:rsidRDefault="00F06B96" w:rsidP="00B60656">
      <w:pPr>
        <w:spacing w:after="0"/>
        <w:jc w:val="center"/>
        <w:rPr>
          <w:rFonts w:ascii="Times New Roman" w:hAnsi="Times New Roman"/>
          <w:b/>
          <w:sz w:val="24"/>
          <w:szCs w:val="24"/>
        </w:rPr>
      </w:pPr>
      <w:r>
        <w:rPr>
          <w:rFonts w:ascii="Times New Roman" w:hAnsi="Times New Roman"/>
          <w:b/>
          <w:bCs/>
          <w:i/>
          <w:iCs/>
          <w:sz w:val="24"/>
          <w:szCs w:val="24"/>
        </w:rPr>
        <w:tab/>
      </w:r>
    </w:p>
    <w:p w:rsidR="00F06B96" w:rsidRDefault="00F06B96" w:rsidP="00F06B96">
      <w:pPr>
        <w:spacing w:line="240" w:lineRule="auto"/>
        <w:jc w:val="center"/>
        <w:rPr>
          <w:rFonts w:ascii="Times New Roman" w:hAnsi="Times New Roman"/>
          <w:sz w:val="24"/>
          <w:szCs w:val="24"/>
        </w:rPr>
      </w:pPr>
      <w:r>
        <w:rPr>
          <w:rFonts w:ascii="Times New Roman" w:eastAsia="Times New Roman" w:hAnsi="Times New Roman"/>
          <w:b/>
          <w:bCs/>
          <w:sz w:val="24"/>
          <w:szCs w:val="24"/>
        </w:rPr>
        <w:t>ABSTRACT</w:t>
      </w:r>
    </w:p>
    <w:p w:rsidR="00F06B96" w:rsidRPr="00132207" w:rsidRDefault="00F06B96" w:rsidP="00F06B96">
      <w:pPr>
        <w:spacing w:before="240" w:line="240" w:lineRule="auto"/>
        <w:jc w:val="both"/>
        <w:rPr>
          <w:rFonts w:ascii="Times New Roman" w:hAnsi="Times New Roman" w:cs="Times New Roman"/>
          <w:i/>
          <w:sz w:val="24"/>
          <w:szCs w:val="24"/>
        </w:rPr>
      </w:pPr>
      <w:r w:rsidRPr="00132207">
        <w:rPr>
          <w:rFonts w:ascii="Times New Roman" w:eastAsia="Times New Roman" w:hAnsi="Times New Roman" w:cs="Times New Roman"/>
          <w:i/>
          <w:sz w:val="24"/>
          <w:szCs w:val="24"/>
        </w:rPr>
        <w:t xml:space="preserve">Petroleum station workers are frequently exposed to various occupational hazards, yet their health and safety concerns remain under-researched, particularly at the retail level in urban communities. This study explored occupational health risks and safety practices among petrol station workers in </w:t>
      </w:r>
      <w:proofErr w:type="spellStart"/>
      <w:r w:rsidRPr="00132207">
        <w:rPr>
          <w:rFonts w:ascii="Times New Roman" w:eastAsia="Times New Roman" w:hAnsi="Times New Roman" w:cs="Times New Roman"/>
          <w:i/>
          <w:sz w:val="24"/>
          <w:szCs w:val="24"/>
        </w:rPr>
        <w:t>Badore</w:t>
      </w:r>
      <w:proofErr w:type="spellEnd"/>
      <w:r w:rsidRPr="00132207">
        <w:rPr>
          <w:rFonts w:ascii="Times New Roman" w:eastAsia="Times New Roman" w:hAnsi="Times New Roman" w:cs="Times New Roman"/>
          <w:i/>
          <w:sz w:val="24"/>
          <w:szCs w:val="24"/>
        </w:rPr>
        <w:t xml:space="preserve">, </w:t>
      </w:r>
      <w:proofErr w:type="spellStart"/>
      <w:r w:rsidRPr="00132207">
        <w:rPr>
          <w:rFonts w:ascii="Times New Roman" w:eastAsia="Times New Roman" w:hAnsi="Times New Roman" w:cs="Times New Roman"/>
          <w:i/>
          <w:sz w:val="24"/>
          <w:szCs w:val="24"/>
        </w:rPr>
        <w:t>Eti-Osa</w:t>
      </w:r>
      <w:proofErr w:type="spellEnd"/>
      <w:r w:rsidRPr="00132207">
        <w:rPr>
          <w:rFonts w:ascii="Times New Roman" w:eastAsia="Times New Roman" w:hAnsi="Times New Roman" w:cs="Times New Roman"/>
          <w:i/>
          <w:sz w:val="24"/>
          <w:szCs w:val="24"/>
        </w:rPr>
        <w:t xml:space="preserve"> East Local Council Development Area of Lagos State. The study aimed to assess the level of awareness of occupational health risks, the use of personal protective equipment (PPE), and compliance with safety protocols among petrol station workers. It also sought to identify factors associated with safety </w:t>
      </w:r>
      <w:proofErr w:type="spellStart"/>
      <w:r w:rsidRPr="00132207">
        <w:rPr>
          <w:rFonts w:ascii="Times New Roman" w:eastAsia="Times New Roman" w:hAnsi="Times New Roman" w:cs="Times New Roman"/>
          <w:i/>
          <w:sz w:val="24"/>
          <w:szCs w:val="24"/>
        </w:rPr>
        <w:t>compliance.A</w:t>
      </w:r>
      <w:proofErr w:type="spellEnd"/>
      <w:r w:rsidRPr="00132207">
        <w:rPr>
          <w:rFonts w:ascii="Times New Roman" w:eastAsia="Times New Roman" w:hAnsi="Times New Roman" w:cs="Times New Roman"/>
          <w:i/>
          <w:sz w:val="24"/>
          <w:szCs w:val="24"/>
        </w:rPr>
        <w:t xml:space="preserve"> descriptive cross-sectional design with observational elements was adopted. Using a multistage sampling technique, 100 workers were selected from 10 randomly chosen petrol stations in </w:t>
      </w:r>
      <w:proofErr w:type="spellStart"/>
      <w:r w:rsidRPr="00132207">
        <w:rPr>
          <w:rFonts w:ascii="Times New Roman" w:eastAsia="Times New Roman" w:hAnsi="Times New Roman" w:cs="Times New Roman"/>
          <w:i/>
          <w:sz w:val="24"/>
          <w:szCs w:val="24"/>
        </w:rPr>
        <w:t>Badore</w:t>
      </w:r>
      <w:proofErr w:type="spellEnd"/>
      <w:r w:rsidRPr="00132207">
        <w:rPr>
          <w:rFonts w:ascii="Times New Roman" w:eastAsia="Times New Roman" w:hAnsi="Times New Roman" w:cs="Times New Roman"/>
          <w:i/>
          <w:sz w:val="24"/>
          <w:szCs w:val="24"/>
        </w:rPr>
        <w:t xml:space="preserve">. Data collection instruments included a structured questionnaire, a safety practice observation checklist, and a field observation log. Quantitative data were analyzed using SPSS version 26, employing descriptive statistics, Chi-square tests, t-tests, ANOVA, and logistic regression. Observational data were analyzed </w:t>
      </w:r>
      <w:proofErr w:type="spellStart"/>
      <w:r w:rsidRPr="00132207">
        <w:rPr>
          <w:rFonts w:ascii="Times New Roman" w:eastAsia="Times New Roman" w:hAnsi="Times New Roman" w:cs="Times New Roman"/>
          <w:i/>
          <w:sz w:val="24"/>
          <w:szCs w:val="24"/>
        </w:rPr>
        <w:t>thematically.The</w:t>
      </w:r>
      <w:proofErr w:type="spellEnd"/>
      <w:r w:rsidRPr="00132207">
        <w:rPr>
          <w:rFonts w:ascii="Times New Roman" w:eastAsia="Times New Roman" w:hAnsi="Times New Roman" w:cs="Times New Roman"/>
          <w:i/>
          <w:sz w:val="24"/>
          <w:szCs w:val="24"/>
        </w:rPr>
        <w:t xml:space="preserve"> study revealed that out of 100 respondents, the majority were male (76%), </w:t>
      </w:r>
      <w:proofErr w:type="gramStart"/>
      <w:r w:rsidRPr="00132207">
        <w:rPr>
          <w:rFonts w:ascii="Times New Roman" w:eastAsia="Times New Roman" w:hAnsi="Times New Roman" w:cs="Times New Roman"/>
          <w:i/>
          <w:sz w:val="24"/>
          <w:szCs w:val="24"/>
        </w:rPr>
        <w:t>aged  between</w:t>
      </w:r>
      <w:proofErr w:type="gramEnd"/>
      <w:r w:rsidRPr="00132207">
        <w:rPr>
          <w:rFonts w:ascii="Times New Roman" w:eastAsia="Times New Roman" w:hAnsi="Times New Roman" w:cs="Times New Roman"/>
          <w:i/>
          <w:sz w:val="24"/>
          <w:szCs w:val="24"/>
        </w:rPr>
        <w:t xml:space="preserve"> 21–30 years (47%), and most (58%) had secondary education. Over half (53%) had more than one year of work experience. Awareness of occupational health risks was moderate, with 64% reporting familiarity with fuel-related hazards, but only 38% had received formal safety training. PPE usage was inconsistent: while 61% reported using gloves, only 24% regularly used face masks. A significant association was found between awareness level and PPE compliance (χ² = 12.46, </w:t>
      </w:r>
      <w:r w:rsidRPr="00132207">
        <w:rPr>
          <w:rFonts w:ascii="Times New Roman" w:eastAsia="Times New Roman" w:hAnsi="Times New Roman" w:cs="Times New Roman"/>
          <w:i/>
          <w:iCs/>
          <w:sz w:val="24"/>
          <w:szCs w:val="24"/>
        </w:rPr>
        <w:t>p</w:t>
      </w:r>
      <w:r w:rsidRPr="00132207">
        <w:rPr>
          <w:rFonts w:ascii="Times New Roman" w:eastAsia="Times New Roman" w:hAnsi="Times New Roman" w:cs="Times New Roman"/>
          <w:i/>
          <w:sz w:val="24"/>
          <w:szCs w:val="24"/>
        </w:rPr>
        <w:t xml:space="preserve"> = 0.014). Supervisors and older workers demonstrated higher compliance scores (</w:t>
      </w:r>
      <w:r w:rsidRPr="00132207">
        <w:rPr>
          <w:rFonts w:ascii="Times New Roman" w:eastAsia="Times New Roman" w:hAnsi="Times New Roman" w:cs="Times New Roman"/>
          <w:i/>
          <w:iCs/>
          <w:sz w:val="24"/>
          <w:szCs w:val="24"/>
        </w:rPr>
        <w:t>p</w:t>
      </w:r>
      <w:r w:rsidRPr="00132207">
        <w:rPr>
          <w:rFonts w:ascii="Times New Roman" w:eastAsia="Times New Roman" w:hAnsi="Times New Roman" w:cs="Times New Roman"/>
          <w:i/>
          <w:sz w:val="24"/>
          <w:szCs w:val="24"/>
        </w:rPr>
        <w:t xml:space="preserve"> = 0.033). Observational data confirmed these trends—only 30% of stations had visible safety signage, and PPE use was rated as "Observed" in just 36% of visits. Fire extinguishers were present in 70% of stations but often poorly positioned or non-functional. </w:t>
      </w:r>
      <w:proofErr w:type="gramStart"/>
      <w:r w:rsidRPr="00132207">
        <w:rPr>
          <w:rFonts w:ascii="Times New Roman" w:eastAsia="Times New Roman" w:hAnsi="Times New Roman" w:cs="Times New Roman"/>
          <w:i/>
          <w:sz w:val="24"/>
          <w:szCs w:val="24"/>
        </w:rPr>
        <w:t>Field notes highlighted unsafe practices such as manual fuel priming, lack of hand hygiene, and absence of safety briefings.</w:t>
      </w:r>
      <w:proofErr w:type="gramEnd"/>
      <w:r w:rsidRPr="00132207">
        <w:rPr>
          <w:rFonts w:ascii="Times New Roman" w:eastAsia="Times New Roman" w:hAnsi="Times New Roman" w:cs="Times New Roman"/>
          <w:i/>
          <w:sz w:val="24"/>
          <w:szCs w:val="24"/>
        </w:rPr>
        <w:t xml:space="preserve"> Logistic regression analysis identified safety training (</w:t>
      </w:r>
      <w:r w:rsidRPr="00132207">
        <w:rPr>
          <w:rFonts w:ascii="Times New Roman" w:eastAsia="Times New Roman" w:hAnsi="Times New Roman" w:cs="Times New Roman"/>
          <w:i/>
          <w:iCs/>
          <w:sz w:val="24"/>
          <w:szCs w:val="24"/>
        </w:rPr>
        <w:t>p</w:t>
      </w:r>
      <w:r w:rsidRPr="00132207">
        <w:rPr>
          <w:rFonts w:ascii="Times New Roman" w:eastAsia="Times New Roman" w:hAnsi="Times New Roman" w:cs="Times New Roman"/>
          <w:i/>
          <w:sz w:val="24"/>
          <w:szCs w:val="24"/>
        </w:rPr>
        <w:t xml:space="preserve"> = 0.006) and length of service (</w:t>
      </w:r>
      <w:r w:rsidRPr="00132207">
        <w:rPr>
          <w:rFonts w:ascii="Times New Roman" w:eastAsia="Times New Roman" w:hAnsi="Times New Roman" w:cs="Times New Roman"/>
          <w:i/>
          <w:iCs/>
          <w:sz w:val="24"/>
          <w:szCs w:val="24"/>
        </w:rPr>
        <w:t>p</w:t>
      </w:r>
      <w:r w:rsidRPr="00132207">
        <w:rPr>
          <w:rFonts w:ascii="Times New Roman" w:eastAsia="Times New Roman" w:hAnsi="Times New Roman" w:cs="Times New Roman"/>
          <w:i/>
          <w:sz w:val="24"/>
          <w:szCs w:val="24"/>
        </w:rPr>
        <w:t xml:space="preserve"> = 0.041) as significant predictors of PPE </w:t>
      </w:r>
      <w:proofErr w:type="spellStart"/>
      <w:r w:rsidRPr="00132207">
        <w:rPr>
          <w:rFonts w:ascii="Times New Roman" w:eastAsia="Times New Roman" w:hAnsi="Times New Roman" w:cs="Times New Roman"/>
          <w:i/>
          <w:sz w:val="24"/>
          <w:szCs w:val="24"/>
        </w:rPr>
        <w:t>compliance.The</w:t>
      </w:r>
      <w:proofErr w:type="spellEnd"/>
      <w:r w:rsidRPr="00132207">
        <w:rPr>
          <w:rFonts w:ascii="Times New Roman" w:eastAsia="Times New Roman" w:hAnsi="Times New Roman" w:cs="Times New Roman"/>
          <w:i/>
          <w:sz w:val="24"/>
          <w:szCs w:val="24"/>
        </w:rPr>
        <w:t xml:space="preserve"> study highlights critical safety challenges facing petroleum station workers in semi-urban settings like </w:t>
      </w:r>
      <w:proofErr w:type="spellStart"/>
      <w:r w:rsidRPr="00132207">
        <w:rPr>
          <w:rFonts w:ascii="Times New Roman" w:eastAsia="Times New Roman" w:hAnsi="Times New Roman" w:cs="Times New Roman"/>
          <w:i/>
          <w:sz w:val="24"/>
          <w:szCs w:val="24"/>
        </w:rPr>
        <w:t>Badore</w:t>
      </w:r>
      <w:proofErr w:type="spellEnd"/>
      <w:r w:rsidRPr="00132207">
        <w:rPr>
          <w:rFonts w:ascii="Times New Roman" w:eastAsia="Times New Roman" w:hAnsi="Times New Roman" w:cs="Times New Roman"/>
          <w:i/>
          <w:sz w:val="24"/>
          <w:szCs w:val="24"/>
        </w:rPr>
        <w:t>. Strengthening regulatory oversight, enforcing safety standards, and providing targeted training are essential to mitigating occupational health risks. The findings also offer localized insights that can inform broader public health policies and interventions in similar high-risk work environments.</w:t>
      </w:r>
    </w:p>
    <w:p w:rsidR="00F06B96" w:rsidRPr="00B60656" w:rsidRDefault="00F06B96" w:rsidP="00B60656">
      <w:pPr>
        <w:spacing w:before="100" w:beforeAutospacing="1" w:after="100" w:afterAutospacing="1" w:line="240" w:lineRule="auto"/>
        <w:rPr>
          <w:rFonts w:ascii="Times New Roman" w:eastAsia="Times New Roman" w:hAnsi="Times New Roman" w:cs="Times New Roman"/>
          <w:i/>
          <w:sz w:val="24"/>
          <w:szCs w:val="24"/>
        </w:rPr>
      </w:pPr>
      <w:r w:rsidRPr="00F06B96">
        <w:rPr>
          <w:rFonts w:ascii="Times New Roman" w:eastAsia="Times New Roman" w:hAnsi="Times New Roman" w:cs="Times New Roman"/>
          <w:b/>
          <w:bCs/>
          <w:i/>
          <w:sz w:val="24"/>
          <w:szCs w:val="24"/>
        </w:rPr>
        <w:t xml:space="preserve">Keywords: </w:t>
      </w:r>
      <w:r w:rsidRPr="00F06B96">
        <w:rPr>
          <w:rFonts w:ascii="Times New Roman" w:eastAsia="Times New Roman" w:hAnsi="Times New Roman" w:cs="Times New Roman"/>
          <w:i/>
          <w:sz w:val="24"/>
          <w:szCs w:val="24"/>
        </w:rPr>
        <w:t>Occupational health, petroleum workers, safety practices, PPE, risk exposure, workplace compliance</w:t>
      </w:r>
    </w:p>
    <w:p w:rsidR="003939D5" w:rsidRDefault="00F06B96">
      <w:r>
        <w:tab/>
      </w:r>
      <w:r>
        <w:tab/>
      </w:r>
      <w:r>
        <w:tab/>
      </w:r>
      <w:r>
        <w:tab/>
      </w:r>
      <w:r>
        <w:tab/>
      </w:r>
      <w:r>
        <w:tab/>
      </w:r>
      <w:r>
        <w:tab/>
      </w:r>
      <w:r>
        <w:tab/>
      </w:r>
      <w:r>
        <w:tab/>
      </w:r>
      <w:r>
        <w:tab/>
      </w:r>
      <w:r>
        <w:tab/>
        <w:t xml:space="preserve">          </w:t>
      </w:r>
      <w:r>
        <w:rPr>
          <w:rFonts w:ascii="Times New Roman" w:hAnsi="Times New Roman"/>
          <w:b/>
          <w:bCs/>
          <w:color w:val="000000"/>
          <w:sz w:val="24"/>
          <w:szCs w:val="24"/>
        </w:rPr>
        <w:t>NOVEMBER, 2025</w:t>
      </w:r>
    </w:p>
    <w:sectPr w:rsidR="003939D5" w:rsidSect="003939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compat/>
  <w:rsids>
    <w:rsidRoot w:val="003939D5"/>
    <w:rsid w:val="000105FE"/>
    <w:rsid w:val="001C4394"/>
    <w:rsid w:val="003939D5"/>
    <w:rsid w:val="003B277F"/>
    <w:rsid w:val="00446067"/>
    <w:rsid w:val="007A7032"/>
    <w:rsid w:val="00942EBB"/>
    <w:rsid w:val="00A0157A"/>
    <w:rsid w:val="00AD6D6D"/>
    <w:rsid w:val="00B60656"/>
    <w:rsid w:val="00D156FF"/>
    <w:rsid w:val="00F06B96"/>
    <w:rsid w:val="00FD52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9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39D5"/>
    <w:pPr>
      <w:spacing w:after="0" w:line="240" w:lineRule="auto"/>
    </w:pPr>
  </w:style>
  <w:style w:type="character" w:styleId="Strong">
    <w:name w:val="Strong"/>
    <w:basedOn w:val="DefaultParagraphFont"/>
    <w:uiPriority w:val="22"/>
    <w:qFormat/>
    <w:rsid w:val="000105F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DELL</cp:lastModifiedBy>
  <cp:revision>8</cp:revision>
  <dcterms:created xsi:type="dcterms:W3CDTF">2025-12-03T20:30:00Z</dcterms:created>
  <dcterms:modified xsi:type="dcterms:W3CDTF">2025-12-08T12:50:00Z</dcterms:modified>
</cp:coreProperties>
</file>